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ANEXO I</w:t>
      </w:r>
      <w:bookmarkStart w:id="0" w:name="_GoBack"/>
      <w:bookmarkEnd w:id="0"/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X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br/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DECLARAÇÃO DE INFRAESTRUTURA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EDITAL DE CHAMAMENTO PÚBLICO Nº </w:t>
      </w:r>
      <w:r>
        <w:rPr>
          <w:rFonts w:cs="Arial" w:ascii="Arial" w:hAnsi="Arial"/>
          <w:b/>
          <w:sz w:val="24"/>
          <w:szCs w:val="24"/>
        </w:rPr>
        <w:t>40</w:t>
      </w:r>
      <w:r>
        <w:rPr>
          <w:rFonts w:cs="Arial" w:ascii="Arial" w:hAnsi="Arial"/>
          <w:b/>
          <w:sz w:val="24"/>
          <w:szCs w:val="24"/>
        </w:rPr>
        <w:t>/202</w:t>
      </w:r>
      <w:r>
        <w:rPr>
          <w:rFonts w:cs="Arial" w:ascii="Arial" w:hAnsi="Arial"/>
          <w:b/>
          <w:sz w:val="24"/>
          <w:szCs w:val="24"/>
        </w:rPr>
        <w:t>5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PROCESSO Nº </w:t>
      </w:r>
      <w:r>
        <w:rPr>
          <w:rFonts w:cs="Arial" w:ascii="Arial" w:hAnsi="Arial"/>
          <w:b/>
          <w:sz w:val="24"/>
          <w:szCs w:val="24"/>
        </w:rPr>
        <w:t>0045142.00000736/2022-38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 xml:space="preserve">Eu,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_____________________________________</w:t>
      </w:r>
      <w:r>
        <w:rPr>
          <w:rFonts w:eastAsia="Times New Roman" w:cs="Arial" w:ascii="Arial" w:hAnsi="Arial"/>
          <w:sz w:val="24"/>
          <w:szCs w:val="24"/>
          <w:lang w:eastAsia="pt-BR"/>
        </w:rPr>
        <w:t>, Leiloeiro(a) Oficial, inscrito(a) na J</w:t>
      </w:r>
      <w:r>
        <w:rPr>
          <w:rFonts w:eastAsia="Times New Roman" w:cs="Arial" w:ascii="Arial" w:hAnsi="Arial"/>
          <w:sz w:val="24"/>
          <w:szCs w:val="24"/>
          <w:lang w:eastAsia="pt-BR"/>
        </w:rPr>
        <w:t>UCERJA</w:t>
      </w:r>
      <w:r>
        <w:rPr>
          <w:rFonts w:eastAsia="Times New Roman" w:cs="Arial" w:ascii="Arial" w:hAnsi="Arial"/>
          <w:sz w:val="24"/>
          <w:szCs w:val="24"/>
          <w:lang w:eastAsia="pt-BR"/>
        </w:rPr>
        <w:t xml:space="preserve"> sob o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_____________</w:t>
      </w:r>
      <w:r>
        <w:rPr>
          <w:rFonts w:eastAsia="Times New Roman" w:cs="Arial" w:ascii="Arial" w:hAnsi="Arial"/>
          <w:sz w:val="24"/>
          <w:szCs w:val="24"/>
          <w:lang w:eastAsia="pt-BR"/>
        </w:rPr>
        <w:t xml:space="preserve">, CPF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_________________________</w:t>
      </w:r>
      <w:r>
        <w:rPr>
          <w:rFonts w:eastAsia="Times New Roman" w:cs="Arial" w:ascii="Arial" w:hAnsi="Arial"/>
          <w:sz w:val="24"/>
          <w:szCs w:val="24"/>
          <w:lang w:eastAsia="pt-BR"/>
        </w:rPr>
        <w:t xml:space="preserve">, com endereço profissional em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__________________</w:t>
      </w:r>
      <w:r>
        <w:rPr>
          <w:rFonts w:eastAsia="Times New Roman" w:cs="Arial" w:ascii="Arial" w:hAnsi="Arial"/>
          <w:sz w:val="24"/>
          <w:szCs w:val="24"/>
          <w:lang w:eastAsia="pt-BR"/>
        </w:rPr>
        <w:t xml:space="preserve">, DECLARO, para fins de credenciamento no processo de credenciamento de leiloeiros, conforme o </w:t>
      </w:r>
      <w:r>
        <w:rPr>
          <w:rFonts w:eastAsia="Times New Roman" w:cs="Arial" w:ascii="Arial" w:hAnsi="Arial"/>
          <w:b/>
          <w:sz w:val="24"/>
          <w:szCs w:val="24"/>
          <w:lang w:eastAsia="pt-BR"/>
        </w:rPr>
        <w:t xml:space="preserve">Edital de Credenciamento nº </w:t>
      </w:r>
      <w:r>
        <w:rPr>
          <w:rFonts w:eastAsia="Times New Roman" w:cs="Arial" w:ascii="Arial" w:hAnsi="Arial"/>
          <w:b/>
          <w:sz w:val="24"/>
          <w:szCs w:val="24"/>
          <w:lang w:eastAsia="pt-BR"/>
        </w:rPr>
        <w:t>40</w:t>
      </w:r>
      <w:r>
        <w:rPr>
          <w:rFonts w:eastAsia="Times New Roman" w:cs="Arial" w:ascii="Arial" w:hAnsi="Arial"/>
          <w:b/>
          <w:sz w:val="24"/>
          <w:szCs w:val="24"/>
          <w:lang w:eastAsia="pt-BR"/>
        </w:rPr>
        <w:t>/202</w:t>
      </w:r>
      <w:r>
        <w:rPr>
          <w:rFonts w:eastAsia="Times New Roman" w:cs="Arial" w:ascii="Arial" w:hAnsi="Arial"/>
          <w:b/>
          <w:sz w:val="24"/>
          <w:szCs w:val="24"/>
          <w:lang w:eastAsia="pt-BR"/>
        </w:rPr>
        <w:t>5</w:t>
      </w:r>
      <w:r>
        <w:rPr>
          <w:rFonts w:eastAsia="Times New Roman" w:cs="Arial" w:ascii="Arial" w:hAnsi="Arial"/>
          <w:sz w:val="24"/>
          <w:szCs w:val="24"/>
          <w:lang w:eastAsia="pt-BR"/>
        </w:rPr>
        <w:t xml:space="preserve"> do </w:t>
      </w:r>
      <w:r>
        <w:rPr>
          <w:rFonts w:eastAsia="Times New Roman" w:cs="Arial" w:ascii="Arial" w:hAnsi="Arial"/>
          <w:sz w:val="24"/>
          <w:szCs w:val="24"/>
          <w:lang w:eastAsia="pt-BR"/>
        </w:rPr>
        <w:t>IBGE</w:t>
      </w:r>
      <w:r>
        <w:rPr>
          <w:rFonts w:eastAsia="Times New Roman" w:cs="Arial" w:ascii="Arial" w:hAnsi="Arial"/>
          <w:sz w:val="24"/>
          <w:szCs w:val="24"/>
          <w:lang w:eastAsia="pt-BR"/>
        </w:rPr>
        <w:t>, que disponho da seguinte infraestrutura mínima necessária para a realização dos leilões de bens móveis inservíveis e/ou imóveis: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Sistema Audiovisual</w:t>
      </w:r>
      <w:r>
        <w:rPr>
          <w:rFonts w:eastAsia="Times New Roman" w:cs="Arial" w:ascii="Arial" w:hAnsi="Arial"/>
          <w:sz w:val="24"/>
          <w:szCs w:val="24"/>
          <w:lang w:eastAsia="pt-BR"/>
        </w:rPr>
        <w:t>: Equipamento de som e projeção adequados para realizar os leilões.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Site próprio</w:t>
      </w:r>
      <w:r>
        <w:rPr>
          <w:rFonts w:eastAsia="Times New Roman" w:cs="Arial" w:ascii="Arial" w:hAnsi="Arial"/>
          <w:sz w:val="24"/>
          <w:szCs w:val="24"/>
          <w:lang w:eastAsia="pt-BR"/>
        </w:rPr>
        <w:t>: Disponho de plataforma própria que possibilita a divulgação e a realização de leilões pela internet, incluindo a captação de lances online em tempo real, com a visualização das fotos dos bens a serem leiloados e a inserção de lances superiores ao último lance ofertado.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Recepção de lances em tempo real</w:t>
      </w:r>
      <w:r>
        <w:rPr>
          <w:rFonts w:eastAsia="Times New Roman" w:cs="Arial" w:ascii="Arial" w:hAnsi="Arial"/>
          <w:sz w:val="24"/>
          <w:szCs w:val="24"/>
          <w:lang w:eastAsia="pt-BR"/>
        </w:rPr>
        <w:t>: Mecanismo que permite a recepção de lances simultâneos em formato online.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Controle informatizado dos lotes</w:t>
      </w:r>
      <w:r>
        <w:rPr>
          <w:rFonts w:eastAsia="Times New Roman" w:cs="Arial" w:ascii="Arial" w:hAnsi="Arial"/>
          <w:sz w:val="24"/>
          <w:szCs w:val="24"/>
          <w:lang w:eastAsia="pt-BR"/>
        </w:rPr>
        <w:t>: Sistema que permite a criação e organização dos lotes, com as respectivas fotos e descrições detalhadas dos bens ofertados, disponíveis para consulta online.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Segurança e transparência</w:t>
      </w:r>
      <w:r>
        <w:rPr>
          <w:rFonts w:eastAsia="Times New Roman" w:cs="Arial" w:ascii="Arial" w:hAnsi="Arial"/>
          <w:sz w:val="24"/>
          <w:szCs w:val="24"/>
          <w:lang w:eastAsia="pt-BR"/>
        </w:rPr>
        <w:t>: Sistema de segurança e controle que garante a autenticidade e validade dos lances, bem como o registro e a disponibilização de todo o histórico do leilão.</w:t>
      </w:r>
    </w:p>
    <w:p>
      <w:pPr>
        <w:pStyle w:val="Normal"/>
        <w:numPr>
          <w:ilvl w:val="0"/>
          <w:numId w:val="1"/>
        </w:numPr>
        <w:spacing w:lineRule="auto" w:line="240" w:before="0" w:after="0"/>
        <w:ind w:hanging="0" w:left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sz w:val="24"/>
          <w:szCs w:val="24"/>
          <w:lang w:eastAsia="pt-BR"/>
        </w:rPr>
        <w:t>Fornecimento de espaço/área adequada</w:t>
      </w:r>
      <w:r>
        <w:rPr>
          <w:rFonts w:eastAsia="Times New Roman" w:cs="Arial" w:ascii="Arial" w:hAnsi="Arial"/>
          <w:sz w:val="24"/>
          <w:szCs w:val="24"/>
          <w:lang w:eastAsia="pt-BR"/>
        </w:rPr>
        <w:t xml:space="preserve">: Guarda dos bens destinados ao leilão sempre que solicitado pelo </w:t>
      </w:r>
      <w:r>
        <w:rPr>
          <w:rFonts w:eastAsia="Times New Roman" w:cs="Arial" w:ascii="Arial" w:hAnsi="Arial"/>
          <w:sz w:val="24"/>
          <w:szCs w:val="24"/>
          <w:lang w:eastAsia="pt-BR"/>
        </w:rPr>
        <w:t>IBGE</w:t>
      </w:r>
      <w:r>
        <w:rPr>
          <w:rFonts w:eastAsia="Times New Roman" w:cs="Arial" w:ascii="Arial" w:hAnsi="Arial"/>
          <w:sz w:val="24"/>
          <w:szCs w:val="24"/>
          <w:lang w:eastAsia="pt-BR"/>
        </w:rPr>
        <w:t>, exercendo vigilância sobre os bens para assegurar sua conservação, incluindo arcar com todos os encargos decorrentes da presente contratação, especialmente os referentes à guarda e conservação dos bens, impostos, fretes, taxas, emolumentos, alvarás, seguros, encargos sociais e trabalhistas.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u w:val="single"/>
          <w:lang w:eastAsia="pt-BR"/>
        </w:rPr>
        <w:t>Rotatividade de credenciados</w:t>
      </w:r>
      <w:r>
        <w:rPr>
          <w:rFonts w:eastAsia="Times New Roman" w:cs="Arial" w:ascii="Arial" w:hAnsi="Arial"/>
          <w:sz w:val="24"/>
          <w:szCs w:val="24"/>
          <w:lang w:eastAsia="pt-BR"/>
        </w:rPr>
        <w:t>: Confirmo que estou ciente da política de rotatividade entre os leiloeiros credenciados e que, após ser sorteado para um leilão, não participarei do sorteio seguinte, conforme estabelecido no item 11 do Termo de Referência.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>Por ser verdade, firmo a presente declaração.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right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>____________, ____ de _____________ de 20____.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cs="Arial"/>
          <w:sz w:val="24"/>
          <w:szCs w:val="24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Assinatura do(a) Leiloeiro(a) Oficial</w:t>
      </w:r>
      <w:r>
        <w:rPr>
          <w:rFonts w:eastAsia="Times New Roman" w:cs="Arial" w:ascii="Arial" w:hAnsi="Arial"/>
          <w:sz w:val="24"/>
          <w:szCs w:val="24"/>
          <w:lang w:eastAsia="pt-BR"/>
        </w:rPr>
        <w:br/>
        <w:t xml:space="preserve">Registro na </w:t>
      </w:r>
      <w:r>
        <w:rPr>
          <w:rFonts w:eastAsia="Times New Roman" w:cs="Arial" w:ascii="Arial" w:hAnsi="Arial"/>
          <w:sz w:val="24"/>
          <w:szCs w:val="24"/>
          <w:lang w:eastAsia="pt-BR"/>
        </w:rPr>
        <w:t>JUCERJA</w:t>
      </w:r>
      <w:r>
        <w:rPr>
          <w:rFonts w:eastAsia="Times New Roman" w:cs="Arial" w:ascii="Arial" w:hAnsi="Arial"/>
          <w:sz w:val="24"/>
          <w:szCs w:val="24"/>
          <w:lang w:eastAsia="pt-BR"/>
        </w:rPr>
        <w:t xml:space="preserve"> nº ______________</w:t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6487f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46487f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LibreOffice/25.2.4.3$Windows_X86_64 LibreOffice_project/33e196637044ead23f5c3226cde09b47731f7e27</Application>
  <AppVersion>15.0000</AppVersion>
  <Pages>2</Pages>
  <Words>321</Words>
  <Characters>1984</Characters>
  <CharactersWithSpaces>2284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2024-09-13T14:35:00Z</dcterms:created>
  <dc:creator>Nelson Oliveira Rodrigues</dc:creator>
  <dc:description/>
  <dc:language>pt-BR</dc:language>
  <cp:lastModifiedBy/>
  <dcterms:modified xsi:type="dcterms:W3CDTF">2025-09-29T10:01:16Z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